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7C0" w:rsidR="00E947D7" w:rsidP="00E947D7" w:rsidRDefault="00E947D7" w14:paraId="075AA075" w14:textId="48D281D5">
      <w:pPr>
        <w:pStyle w:val="Kop3"/>
      </w:pPr>
      <w:bookmarkStart w:name="_Toc387064131" w:id="0"/>
      <w:bookmarkStart w:name="_Toc407026331" w:id="1"/>
      <w:bookmarkStart w:name="_Toc386540224" w:id="2"/>
      <w:bookmarkStart w:name="_Toc387062536" w:id="3"/>
      <w:r>
        <w:t>35.21.</w:t>
      </w:r>
      <w:r>
        <w:tab/>
      </w:r>
      <w:r>
        <w:t xml:space="preserve">étanchéité </w:t>
      </w:r>
      <w:r w:rsidR="003535A7">
        <w:t>membranes synthétiques</w:t>
      </w:r>
      <w:r>
        <w:t xml:space="preserve"> – EPDM</w:t>
      </w:r>
      <w:bookmarkEnd w:id="0"/>
      <w:bookmarkEnd w:id="1"/>
      <w:r>
        <w:t xml:space="preserve"> </w:t>
      </w:r>
      <w:r w:rsidR="00927D1A">
        <w:t>Sure Seal</w:t>
      </w:r>
      <w:r>
        <w:tab/>
      </w:r>
      <w:bookmarkEnd w:id="2"/>
      <w:bookmarkEnd w:id="3"/>
    </w:p>
    <w:p w:rsidRPr="00C867C0" w:rsidR="00E947D7" w:rsidP="00E947D7" w:rsidRDefault="00E947D7" w14:paraId="3ACA6F9D" w14:textId="6EF8486A">
      <w:pPr>
        <w:pStyle w:val="Kop4"/>
      </w:pPr>
      <w:bookmarkStart w:name="_Toc386540225" w:id="4"/>
      <w:bookmarkStart w:name="_Toc387062537" w:id="5"/>
      <w:bookmarkStart w:name="_Toc387064132" w:id="6"/>
      <w:bookmarkStart w:name="_Toc407026332" w:id="7"/>
      <w:r>
        <w:t>35.21.10.</w:t>
      </w:r>
      <w:r>
        <w:tab/>
      </w:r>
      <w:r>
        <w:t xml:space="preserve">étanchéité </w:t>
      </w:r>
      <w:r w:rsidR="003535A7">
        <w:t>membranes synthétiques</w:t>
      </w:r>
      <w:r>
        <w:t xml:space="preserve"> – EPDM </w:t>
      </w:r>
      <w:r w:rsidR="00927D1A">
        <w:t>Sure Seal</w:t>
      </w:r>
      <w:r>
        <w:tab/>
      </w:r>
      <w:bookmarkEnd w:id="4"/>
      <w:bookmarkEnd w:id="5"/>
      <w:bookmarkEnd w:id="6"/>
      <w:bookmarkEnd w:id="7"/>
    </w:p>
    <w:p w:rsidRPr="00C867C0" w:rsidR="00E947D7" w:rsidP="00E947D7" w:rsidRDefault="00E947D7" w14:paraId="3F87F273" w14:textId="77777777">
      <w:pPr>
        <w:pStyle w:val="Kop6"/>
      </w:pPr>
      <w:r>
        <w:t>Matériel</w:t>
      </w:r>
    </w:p>
    <w:p w:rsidRPr="00C867C0" w:rsidR="00E947D7" w:rsidP="005E7DEF" w:rsidRDefault="00E947D7" w14:paraId="5D6D0BE7" w14:textId="2EB4C917">
      <w:pPr>
        <w:pStyle w:val="Plattetekstinspringen"/>
        <w:tabs>
          <w:tab w:val="left" w:pos="1843"/>
        </w:tabs>
        <w:jc w:val="left"/>
      </w:pPr>
      <w:r>
        <w:t>Membranes résistant</w:t>
      </w:r>
      <w:r w:rsidR="006F49E0">
        <w:t>es</w:t>
      </w:r>
      <w:r>
        <w:t xml:space="preserve"> aux UV fabriquées à base de caoutchouc synthétique (éthylène-propylène-diène-monomère) selon le document </w:t>
      </w:r>
      <w:r w:rsidR="0084659B">
        <w:t>NIT 280</w:t>
      </w:r>
      <w:r>
        <w:t>. Le système garantit une compatibilité complète avec la structure de toiture et le support prévus (</w:t>
      </w:r>
      <w:r w:rsidR="0084659B">
        <w:t>NIT 280</w:t>
      </w:r>
      <w:r>
        <w:t xml:space="preserve">). </w:t>
      </w:r>
      <w:r>
        <w:br/>
      </w:r>
      <w:r>
        <w:t xml:space="preserve">Selon le système du fabricant, l’étanchéité en EPDM peut être composée de bandes séparées reliées sur place. </w:t>
      </w:r>
    </w:p>
    <w:p w:rsidRPr="00C867C0" w:rsidR="00E947D7" w:rsidP="00E947D7" w:rsidRDefault="00E947D7" w14:paraId="3B6E8CDD" w14:textId="77777777">
      <w:pPr>
        <w:pStyle w:val="Kop8"/>
      </w:pPr>
      <w:r>
        <w:t>Spécifications</w:t>
      </w:r>
    </w:p>
    <w:p w:rsidRPr="00195A97" w:rsidR="00195A97" w:rsidP="00E947D7" w:rsidRDefault="00E947D7" w14:paraId="1B1EBC00" w14:textId="758CA66E">
      <w:pPr>
        <w:pStyle w:val="Plattetekstinspringen"/>
        <w:tabs>
          <w:tab w:val="left" w:pos="1843"/>
        </w:tabs>
        <w:rPr>
          <w:rStyle w:val="Keuze-blauw"/>
          <w:color w:val="000000"/>
        </w:rPr>
      </w:pPr>
      <w:r>
        <w:t xml:space="preserve">Epaisseur de la couche d’EPDM : minimum </w:t>
      </w:r>
      <w:r w:rsidRPr="003535A7">
        <w:rPr>
          <w:rStyle w:val="Keuze-blauw"/>
          <w:color w:val="000000" w:themeColor="text1"/>
        </w:rPr>
        <w:t>1,</w:t>
      </w:r>
      <w:r w:rsidR="00927D1A">
        <w:rPr>
          <w:rStyle w:val="Keuze-blauw"/>
          <w:color w:val="000000" w:themeColor="text1"/>
        </w:rPr>
        <w:t>2</w:t>
      </w:r>
      <w:r w:rsidRPr="003535A7">
        <w:rPr>
          <w:rStyle w:val="Keuze-blauw"/>
          <w:color w:val="000000" w:themeColor="text1"/>
        </w:rPr>
        <w:t xml:space="preserve"> mm</w:t>
      </w:r>
      <w:r w:rsidR="00695A24">
        <w:rPr>
          <w:rStyle w:val="Keuze-blauw"/>
          <w:color w:val="000000" w:themeColor="text1"/>
        </w:rPr>
        <w:t xml:space="preserve"> / 1,</w:t>
      </w:r>
      <w:r w:rsidR="00927D1A">
        <w:rPr>
          <w:rStyle w:val="Keuze-blauw"/>
          <w:color w:val="000000" w:themeColor="text1"/>
        </w:rPr>
        <w:t>5</w:t>
      </w:r>
      <w:r w:rsidR="00695A24">
        <w:rPr>
          <w:rStyle w:val="Keuze-blauw"/>
          <w:color w:val="000000" w:themeColor="text1"/>
        </w:rPr>
        <w:t xml:space="preserve"> mm</w:t>
      </w:r>
    </w:p>
    <w:p w:rsidRPr="00C867C0" w:rsidR="00E947D7" w:rsidP="00E947D7" w:rsidRDefault="00E947D7" w14:paraId="051F0AF2" w14:textId="4D43D97C">
      <w:pPr>
        <w:pStyle w:val="Plattetekstinspringen"/>
        <w:tabs>
          <w:tab w:val="left" w:pos="1843"/>
        </w:tabs>
      </w:pPr>
      <w:r>
        <w:t xml:space="preserve">Conformément au </w:t>
      </w:r>
      <w:r w:rsidR="0084659B">
        <w:t>NIT 280</w:t>
      </w:r>
      <w:r>
        <w:t xml:space="preserve">, la membrane appartient au type </w:t>
      </w:r>
    </w:p>
    <w:p w:rsidR="00E947D7" w:rsidP="00E947D7" w:rsidRDefault="00695A24" w14:paraId="12F38935" w14:textId="52B584A1">
      <w:pPr>
        <w:pStyle w:val="ofwelinspringen"/>
      </w:pPr>
      <w:r w:rsidR="52B92DC3">
        <w:rPr/>
        <w:t>Non armé</w:t>
      </w:r>
      <w:r w:rsidR="004D7434">
        <w:rPr/>
        <w:t xml:space="preserve"> </w:t>
      </w:r>
      <w:r w:rsidR="00E947D7">
        <w:rPr/>
        <w:t>(type E</w:t>
      </w:r>
      <w:r w:rsidR="33155AD0">
        <w:rPr/>
        <w:t>o</w:t>
      </w:r>
      <w:r w:rsidR="00E947D7">
        <w:rPr/>
        <w:t xml:space="preserve">), </w:t>
      </w:r>
    </w:p>
    <w:tbl>
      <w:tblPr>
        <w:tblStyle w:val="Tabelraster"/>
        <w:tblW w:w="8333" w:type="dxa"/>
        <w:tblInd w:w="1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5"/>
        <w:gridCol w:w="2665"/>
        <w:gridCol w:w="2663"/>
      </w:tblGrid>
      <w:tr w:rsidR="0069355D" w:rsidTr="7F11871B" w14:paraId="42B60DA3" w14:textId="77777777">
        <w:tc>
          <w:tcPr>
            <w:tcW w:w="3005" w:type="dxa"/>
          </w:tcPr>
          <w:p w:rsidRPr="003535A7" w:rsidR="0069355D" w:rsidP="00E947D7" w:rsidRDefault="0069355D" w14:paraId="23E37EF0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Epaisseur EPDM</w:t>
            </w:r>
          </w:p>
        </w:tc>
        <w:tc>
          <w:tcPr>
            <w:tcW w:w="2665" w:type="dxa"/>
          </w:tcPr>
          <w:p w:rsidRPr="003535A7" w:rsidR="0069355D" w:rsidP="00E947D7" w:rsidRDefault="0069355D" w14:paraId="69897801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EN1849-2</w:t>
            </w:r>
          </w:p>
        </w:tc>
        <w:tc>
          <w:tcPr>
            <w:tcW w:w="2663" w:type="dxa"/>
          </w:tcPr>
          <w:p w:rsidRPr="003535A7" w:rsidR="0069355D" w:rsidP="00E947D7" w:rsidRDefault="0069355D" w14:paraId="59CDAEC1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-5% / +10%</w:t>
            </w:r>
          </w:p>
        </w:tc>
      </w:tr>
      <w:tr w:rsidR="0069355D" w:rsidTr="7F11871B" w14:paraId="440CB7FC" w14:textId="77777777">
        <w:tc>
          <w:tcPr>
            <w:tcW w:w="3005" w:type="dxa"/>
          </w:tcPr>
          <w:p w:rsidRPr="003535A7" w:rsidR="0069355D" w:rsidP="00E947D7" w:rsidRDefault="0069355D" w14:paraId="5D35F2CA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Résistance à la traction</w:t>
            </w:r>
          </w:p>
        </w:tc>
        <w:tc>
          <w:tcPr>
            <w:tcW w:w="2665" w:type="dxa"/>
          </w:tcPr>
          <w:p w:rsidRPr="003535A7" w:rsidR="0069355D" w:rsidP="00E947D7" w:rsidRDefault="0069355D" w14:paraId="79B021A5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EN12311-2</w:t>
            </w:r>
          </w:p>
        </w:tc>
        <w:tc>
          <w:tcPr>
            <w:tcW w:w="2663" w:type="dxa"/>
          </w:tcPr>
          <w:p w:rsidRPr="003535A7" w:rsidR="0069355D" w:rsidP="00695A24" w:rsidRDefault="0069355D" w14:paraId="7507B737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≥</w:t>
            </w:r>
            <w:r w:rsidR="00695A24">
              <w:rPr>
                <w:i/>
                <w:color w:val="000000" w:themeColor="text1"/>
              </w:rPr>
              <w:t xml:space="preserve"> 400</w:t>
            </w:r>
            <w:r w:rsidRPr="003535A7">
              <w:rPr>
                <w:i/>
                <w:color w:val="000000" w:themeColor="text1"/>
              </w:rPr>
              <w:t xml:space="preserve"> N /</w:t>
            </w:r>
            <w:r w:rsidR="00695A24">
              <w:rPr>
                <w:i/>
                <w:color w:val="000000" w:themeColor="text1"/>
              </w:rPr>
              <w:t xml:space="preserve">50 </w:t>
            </w:r>
            <w:r w:rsidRPr="003535A7">
              <w:rPr>
                <w:i/>
                <w:color w:val="000000" w:themeColor="text1"/>
              </w:rPr>
              <w:t xml:space="preserve"> mm</w:t>
            </w:r>
          </w:p>
        </w:tc>
      </w:tr>
      <w:tr w:rsidR="0069355D" w:rsidTr="7F11871B" w14:paraId="0BD8415F" w14:textId="77777777">
        <w:tc>
          <w:tcPr>
            <w:tcW w:w="3005" w:type="dxa"/>
          </w:tcPr>
          <w:p w:rsidRPr="003535A7" w:rsidR="0069355D" w:rsidP="00E947D7" w:rsidRDefault="0069355D" w14:paraId="36FB13E4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Allongement à la rupture</w:t>
            </w:r>
          </w:p>
        </w:tc>
        <w:tc>
          <w:tcPr>
            <w:tcW w:w="2665" w:type="dxa"/>
          </w:tcPr>
          <w:p w:rsidRPr="003535A7" w:rsidR="0069355D" w:rsidP="00E947D7" w:rsidRDefault="0069355D" w14:paraId="5936E765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EN12311-2</w:t>
            </w:r>
          </w:p>
        </w:tc>
        <w:tc>
          <w:tcPr>
            <w:tcW w:w="2663" w:type="dxa"/>
          </w:tcPr>
          <w:p w:rsidRPr="003535A7" w:rsidR="0069355D" w:rsidP="00695A24" w:rsidRDefault="0069355D" w14:paraId="2A57F82B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 xml:space="preserve">≥ </w:t>
            </w:r>
            <w:r w:rsidR="00695A24">
              <w:rPr>
                <w:i/>
                <w:color w:val="000000" w:themeColor="text1"/>
              </w:rPr>
              <w:t>15</w:t>
            </w:r>
            <w:r w:rsidRPr="003535A7">
              <w:rPr>
                <w:i/>
                <w:color w:val="000000" w:themeColor="text1"/>
              </w:rPr>
              <w:t>0 %</w:t>
            </w:r>
          </w:p>
        </w:tc>
      </w:tr>
      <w:tr w:rsidR="0069355D" w:rsidTr="7F11871B" w14:paraId="4DE34A25" w14:textId="77777777">
        <w:tc>
          <w:tcPr>
            <w:tcW w:w="3005" w:type="dxa"/>
          </w:tcPr>
          <w:p w:rsidRPr="003535A7" w:rsidR="0069355D" w:rsidP="00E947D7" w:rsidRDefault="0069355D" w14:paraId="02509263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Stabilité dimensionnelle</w:t>
            </w:r>
          </w:p>
        </w:tc>
        <w:tc>
          <w:tcPr>
            <w:tcW w:w="2665" w:type="dxa"/>
          </w:tcPr>
          <w:p w:rsidRPr="003535A7" w:rsidR="0069355D" w:rsidP="00E947D7" w:rsidRDefault="0069355D" w14:paraId="680C8E45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EN1107-2</w:t>
            </w:r>
          </w:p>
        </w:tc>
        <w:tc>
          <w:tcPr>
            <w:tcW w:w="2663" w:type="dxa"/>
          </w:tcPr>
          <w:p w:rsidRPr="003535A7" w:rsidR="0069355D" w:rsidP="00E947D7" w:rsidRDefault="0069355D" w14:paraId="44BAD0A6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≤ 0,5 %</w:t>
            </w:r>
          </w:p>
        </w:tc>
      </w:tr>
      <w:tr w:rsidR="0069355D" w:rsidTr="7F11871B" w14:paraId="78D8B9E7" w14:textId="77777777">
        <w:tc>
          <w:tcPr>
            <w:tcW w:w="3005" w:type="dxa"/>
          </w:tcPr>
          <w:p w:rsidRPr="003535A7" w:rsidR="0069355D" w:rsidP="00E947D7" w:rsidRDefault="0069355D" w14:paraId="23A03F1E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Résistance au déchirement</w:t>
            </w:r>
          </w:p>
        </w:tc>
        <w:tc>
          <w:tcPr>
            <w:tcW w:w="2665" w:type="dxa"/>
          </w:tcPr>
          <w:p w:rsidRPr="003535A7" w:rsidR="0069355D" w:rsidP="00E947D7" w:rsidRDefault="0069355D" w14:paraId="55A214EC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EN12310-1</w:t>
            </w:r>
          </w:p>
        </w:tc>
        <w:tc>
          <w:tcPr>
            <w:tcW w:w="2663" w:type="dxa"/>
          </w:tcPr>
          <w:p w:rsidRPr="003535A7" w:rsidR="0069355D" w:rsidP="00695A24" w:rsidRDefault="0069355D" w14:paraId="46099653" w14:textId="4B62012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 xml:space="preserve">≥ </w:t>
            </w:r>
            <w:r w:rsidR="00927D1A">
              <w:rPr>
                <w:i/>
                <w:color w:val="000000" w:themeColor="text1"/>
              </w:rPr>
              <w:t>40</w:t>
            </w:r>
            <w:r w:rsidRPr="003535A7">
              <w:rPr>
                <w:i/>
                <w:color w:val="000000" w:themeColor="text1"/>
              </w:rPr>
              <w:t xml:space="preserve"> N</w:t>
            </w:r>
          </w:p>
        </w:tc>
      </w:tr>
      <w:tr w:rsidR="0069355D" w:rsidTr="7F11871B" w14:paraId="4EF571A0" w14:textId="77777777">
        <w:tc>
          <w:tcPr>
            <w:tcW w:w="3005" w:type="dxa"/>
          </w:tcPr>
          <w:p w:rsidRPr="003535A7" w:rsidR="0069355D" w:rsidP="00E947D7" w:rsidRDefault="0069355D" w14:paraId="2D60C543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Etanchéité sous pression d’eau</w:t>
            </w:r>
          </w:p>
        </w:tc>
        <w:tc>
          <w:tcPr>
            <w:tcW w:w="2665" w:type="dxa"/>
          </w:tcPr>
          <w:p w:rsidRPr="003535A7" w:rsidR="0069355D" w:rsidP="00E947D7" w:rsidRDefault="0069355D" w14:paraId="747C5601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EN1928B</w:t>
            </w:r>
          </w:p>
        </w:tc>
        <w:tc>
          <w:tcPr>
            <w:tcW w:w="2663" w:type="dxa"/>
          </w:tcPr>
          <w:p w:rsidRPr="003535A7" w:rsidR="0069355D" w:rsidP="00E947D7" w:rsidRDefault="0069355D" w14:paraId="60FC6D2E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10 kPa</w:t>
            </w:r>
          </w:p>
        </w:tc>
      </w:tr>
      <w:tr w:rsidR="0069355D" w:rsidTr="7F11871B" w14:paraId="3F9F4839" w14:textId="77777777">
        <w:tc>
          <w:tcPr>
            <w:tcW w:w="3005" w:type="dxa"/>
          </w:tcPr>
          <w:p w:rsidRPr="003535A7" w:rsidR="0069355D" w:rsidP="00E947D7" w:rsidRDefault="0069355D" w14:paraId="3914E0E4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Exposition aux étincelles</w:t>
            </w:r>
          </w:p>
        </w:tc>
        <w:tc>
          <w:tcPr>
            <w:tcW w:w="2665" w:type="dxa"/>
          </w:tcPr>
          <w:p w:rsidRPr="003535A7" w:rsidR="0069355D" w:rsidP="00E947D7" w:rsidRDefault="0069355D" w14:paraId="71045587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EN13501-1</w:t>
            </w:r>
          </w:p>
        </w:tc>
        <w:tc>
          <w:tcPr>
            <w:tcW w:w="2663" w:type="dxa"/>
          </w:tcPr>
          <w:p w:rsidRPr="003535A7" w:rsidR="0069355D" w:rsidP="00AF7F36" w:rsidRDefault="0069355D" w14:paraId="4E521FEB" w14:textId="4363F22B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B</w:t>
            </w:r>
            <w:r w:rsidRPr="00AF7F36" w:rsidR="00AF7F36">
              <w:rPr>
                <w:i/>
                <w:color w:val="000000" w:themeColor="text1"/>
                <w:vertAlign w:val="subscript"/>
              </w:rPr>
              <w:t>roof</w:t>
            </w:r>
            <w:r w:rsidRPr="003535A7">
              <w:rPr>
                <w:i/>
                <w:color w:val="000000" w:themeColor="text1"/>
              </w:rPr>
              <w:t>(</w:t>
            </w:r>
            <w:r w:rsidR="00AF7F36">
              <w:rPr>
                <w:i/>
                <w:color w:val="000000" w:themeColor="text1"/>
              </w:rPr>
              <w:t>t</w:t>
            </w:r>
            <w:r w:rsidRPr="003535A7">
              <w:rPr>
                <w:i/>
                <w:color w:val="000000" w:themeColor="text1"/>
              </w:rPr>
              <w:t>1)</w:t>
            </w:r>
            <w:r w:rsidRPr="004B22C6" w:rsidR="004B22C6">
              <w:rPr>
                <w:i/>
                <w:color w:val="000000" w:themeColor="text1"/>
                <w:sz w:val="18"/>
                <w:szCs w:val="18"/>
              </w:rPr>
              <w:t>complexes disponible</w:t>
            </w:r>
          </w:p>
        </w:tc>
      </w:tr>
      <w:tr w:rsidR="0069355D" w:rsidTr="7F11871B" w14:paraId="39832DBF" w14:textId="77777777">
        <w:tc>
          <w:tcPr>
            <w:tcW w:w="3005" w:type="dxa"/>
          </w:tcPr>
          <w:p w:rsidRPr="003535A7" w:rsidR="0069355D" w:rsidP="00E947D7" w:rsidRDefault="0069355D" w14:paraId="5CA281FB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Flexibilité à froid</w:t>
            </w:r>
          </w:p>
        </w:tc>
        <w:tc>
          <w:tcPr>
            <w:tcW w:w="2665" w:type="dxa"/>
          </w:tcPr>
          <w:p w:rsidRPr="003535A7" w:rsidR="0069355D" w:rsidP="00E947D7" w:rsidRDefault="0069355D" w14:paraId="61615AC4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EN1850-2</w:t>
            </w:r>
          </w:p>
        </w:tc>
        <w:tc>
          <w:tcPr>
            <w:tcW w:w="2663" w:type="dxa"/>
          </w:tcPr>
          <w:p w:rsidRPr="003535A7" w:rsidR="0069355D" w:rsidP="00E947D7" w:rsidRDefault="0069355D" w14:paraId="6EE3F036" w14:textId="7777777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≤ - 45°C</w:t>
            </w:r>
          </w:p>
        </w:tc>
      </w:tr>
    </w:tbl>
    <w:p w:rsidRPr="00C867C0" w:rsidR="00E947D7" w:rsidP="00E947D7" w:rsidRDefault="00E947D7" w14:paraId="004F5D18" w14:textId="7BCB9BC4">
      <w:pPr>
        <w:pStyle w:val="Kop8"/>
      </w:pPr>
    </w:p>
    <w:p w:rsidRPr="00C867C0" w:rsidR="00E947D7" w:rsidP="00E947D7" w:rsidRDefault="00E947D7" w14:paraId="14886835" w14:textId="40FE3830">
      <w:pPr>
        <w:pStyle w:val="Kop8"/>
      </w:pPr>
    </w:p>
    <w:p w:rsidRPr="00C867C0" w:rsidR="00E947D7" w:rsidP="00E947D7" w:rsidRDefault="00E947D7" w14:paraId="0279162F" w14:textId="0FE16363">
      <w:pPr>
        <w:pStyle w:val="Kop8"/>
      </w:pPr>
      <w:r>
        <w:t>Spécifications complémentaires</w:t>
      </w:r>
    </w:p>
    <w:p w:rsidRPr="004841C7" w:rsidR="00AD7BEC" w:rsidP="00AD7BEC" w:rsidRDefault="00E947D7" w14:paraId="7A54BAAC" w14:textId="71962701">
      <w:pPr>
        <w:pStyle w:val="Plattetekstinspringen"/>
        <w:rPr>
          <w:color w:val="000000" w:themeColor="text1"/>
        </w:rPr>
      </w:pPr>
      <w:r>
        <w:t>Résistance aux racines des toits verts (</w:t>
      </w:r>
      <w:r w:rsidR="0084659B">
        <w:t>NIT</w:t>
      </w:r>
      <w:r>
        <w:t xml:space="preserve"> 229): </w:t>
      </w:r>
      <w:r w:rsidRPr="004841C7">
        <w:rPr>
          <w:color w:val="000000" w:themeColor="text1"/>
        </w:rPr>
        <w:t>satisfaisant pour toit vert extensif</w:t>
      </w:r>
      <w:r w:rsidRPr="004841C7" w:rsidR="006F49E0">
        <w:rPr>
          <w:color w:val="000000" w:themeColor="text1"/>
        </w:rPr>
        <w:t>,</w:t>
      </w:r>
      <w:r w:rsidRPr="004841C7">
        <w:rPr>
          <w:color w:val="000000" w:themeColor="text1"/>
        </w:rPr>
        <w:t xml:space="preserve"> à condition d'intercaler un film PE &gt;\ 0,4 mm</w:t>
      </w:r>
    </w:p>
    <w:p w:rsidRPr="00C867C0" w:rsidR="00E947D7" w:rsidP="00E947D7" w:rsidRDefault="00E947D7" w14:paraId="1F8A6222" w14:textId="77777777">
      <w:pPr>
        <w:pStyle w:val="Plattetekstinspringen"/>
        <w:tabs>
          <w:tab w:val="left" w:pos="1843"/>
        </w:tabs>
      </w:pPr>
      <w:r>
        <w:t>Résistance aux incendies externes :  B</w:t>
      </w:r>
      <w:r w:rsidRPr="00AF7F36" w:rsidR="00AF7F36">
        <w:rPr>
          <w:vertAlign w:val="subscript"/>
        </w:rPr>
        <w:t>roof</w:t>
      </w:r>
      <w:r>
        <w:t>(t1) selon les normes NBN EN 13501-5 et CEN/TS 1187-1.</w:t>
      </w:r>
    </w:p>
    <w:p w:rsidR="00D75B07" w:rsidP="00E947D7" w:rsidRDefault="00E947D7" w14:paraId="1AE37052" w14:textId="0CDA1D38">
      <w:pPr>
        <w:pStyle w:val="Plattetekstinspringen"/>
        <w:tabs>
          <w:tab w:val="left" w:pos="1843"/>
        </w:tabs>
      </w:pPr>
      <w:r>
        <w:t xml:space="preserve">La membrane </w:t>
      </w:r>
      <w:r w:rsidR="006F49E0">
        <w:t>répond</w:t>
      </w:r>
      <w:r>
        <w:t xml:space="preserve"> aux normes de qualité de base pour les eaux de surface (valeur de pH neutre) et ne dégage pas de substances nocives. </w:t>
      </w:r>
    </w:p>
    <w:p w:rsidR="00D75B07" w:rsidRDefault="00D75B07" w14:paraId="269FB13C" w14:textId="77777777">
      <w:pPr>
        <w:rPr>
          <w:rFonts w:ascii="Trebuchet MS" w:hAnsi="Trebuchet MS" w:eastAsia="Times New Roman" w:cs="Times New Roman"/>
          <w:color w:val="000000"/>
          <w:sz w:val="20"/>
          <w:szCs w:val="20"/>
        </w:rPr>
      </w:pPr>
      <w:r>
        <w:br w:type="page"/>
      </w:r>
    </w:p>
    <w:p w:rsidRPr="00C867C0" w:rsidR="00E947D7" w:rsidP="00E947D7" w:rsidRDefault="00E947D7" w14:paraId="2258B595" w14:textId="77777777">
      <w:pPr>
        <w:pStyle w:val="Kop6"/>
      </w:pPr>
      <w:r>
        <w:lastRenderedPageBreak/>
        <w:t>Exécution</w:t>
      </w:r>
    </w:p>
    <w:p w:rsidRPr="003535A7" w:rsidR="00E947D7" w:rsidP="00E947D7" w:rsidRDefault="00E947D7" w14:paraId="403AED05" w14:textId="59D9CAEB">
      <w:pPr>
        <w:pStyle w:val="Plattetekstinspringen"/>
        <w:tabs>
          <w:tab w:val="left" w:pos="1843"/>
        </w:tabs>
        <w:rPr>
          <w:color w:val="000000" w:themeColor="text1"/>
        </w:rPr>
      </w:pPr>
      <w:r>
        <w:t xml:space="preserve">Conforme aux </w:t>
      </w:r>
      <w:r w:rsidR="0084659B">
        <w:t>NIT 280</w:t>
      </w:r>
      <w:r>
        <w:t xml:space="preserve"> et </w:t>
      </w:r>
      <w:r w:rsidR="0084659B">
        <w:t xml:space="preserve">NIT </w:t>
      </w:r>
      <w:r>
        <w:t>244, aux directives ATG et/ou aux prescriptions du fabricant</w:t>
      </w:r>
    </w:p>
    <w:p w:rsidRPr="00E62233" w:rsidR="00E62233" w:rsidP="00E62233" w:rsidRDefault="00E947D7" w14:paraId="6528AE78" w14:textId="64BA1F83">
      <w:pPr>
        <w:pStyle w:val="Plattetekstinspringen"/>
        <w:tabs>
          <w:tab w:val="left" w:pos="1843"/>
        </w:tabs>
        <w:rPr>
          <w:rStyle w:val="Keuze-blauw"/>
          <w:color w:val="000000" w:themeColor="text1"/>
        </w:rPr>
      </w:pPr>
      <w:r w:rsidRPr="7F11871B">
        <w:rPr>
          <w:color w:val="000000" w:themeColor="text1"/>
        </w:rPr>
        <w:t>Compartimentage :</w:t>
      </w:r>
      <w:r w:rsidRPr="7F11871B">
        <w:rPr>
          <w:color w:val="0A00BF"/>
        </w:rPr>
        <w:t xml:space="preserve">  </w:t>
      </w:r>
      <w:r w:rsidRPr="7F11871B">
        <w:rPr>
          <w:rStyle w:val="Keuze-blauw"/>
          <w:color w:val="0A00BF"/>
        </w:rPr>
        <w:t>selon les indications du plan de toit / ...</w:t>
      </w:r>
    </w:p>
    <w:p w:rsidRPr="00E62233" w:rsidR="00E62233" w:rsidP="00E62233" w:rsidRDefault="00E62233" w14:paraId="5357D056" w14:textId="77777777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  <w:rPr>
          <w:rStyle w:val="Keuze-blauw"/>
          <w:color w:val="000000" w:themeColor="text1"/>
        </w:rPr>
      </w:pPr>
    </w:p>
    <w:p w:rsidRPr="00E62233" w:rsidR="004F0086" w:rsidP="290D3EF4" w:rsidRDefault="78A2BA56" w14:paraId="7E2CD45B" w14:textId="50764B04">
      <w:pPr>
        <w:pStyle w:val="Plattetekstinspringen"/>
        <w:tabs>
          <w:tab w:val="left" w:pos="1843"/>
        </w:tabs>
        <w:rPr>
          <w:color w:val="2C07FA" w:themeColor="text1"/>
        </w:rPr>
      </w:pPr>
      <w:r w:rsidRPr="290D3EF4" w:rsidR="78A2BA56">
        <w:rPr>
          <w:rStyle w:val="normaltextrun"/>
          <w:rFonts w:eastAsia="Trebuchet MS" w:cs="Trebuchet MS"/>
          <w:color w:val="2C07FA"/>
        </w:rPr>
        <w:t>(Soit) Méthode de placement</w:t>
      </w:r>
      <w:r w:rsidRPr="290D3EF4" w:rsidR="78A2BA56">
        <w:rPr>
          <w:rStyle w:val="normaltextrun"/>
          <w:rFonts w:ascii="Arial" w:hAnsi="Arial" w:eastAsia="Arial" w:cs="Arial"/>
          <w:color w:val="2C07FA"/>
        </w:rPr>
        <w:t> </w:t>
      </w:r>
      <w:r w:rsidRPr="290D3EF4" w:rsidR="78A2BA56">
        <w:rPr>
          <w:rStyle w:val="normaltextrun"/>
          <w:rFonts w:eastAsia="Trebuchet MS" w:cs="Trebuchet MS"/>
          <w:color w:val="2C07FA"/>
        </w:rPr>
        <w:t xml:space="preserve">:  pose libre avec lestage. Le lestage est posé le même jour. </w:t>
      </w:r>
      <w:r>
        <w:br/>
      </w:r>
      <w:proofErr w:type="gramStart"/>
      <w:r w:rsidRPr="290D3EF4" w:rsidR="78A2BA56">
        <w:rPr>
          <w:rStyle w:val="normaltextrun"/>
          <w:rFonts w:eastAsia="Trebuchet MS" w:cs="Trebuchet MS"/>
          <w:color w:val="2C07FA"/>
        </w:rPr>
        <w:t>Une revêtement intermédiaire</w:t>
      </w:r>
      <w:proofErr w:type="gramEnd"/>
      <w:r w:rsidRPr="290D3EF4" w:rsidR="78A2BA56">
        <w:rPr>
          <w:rStyle w:val="normaltextrun"/>
          <w:rFonts w:eastAsia="Trebuchet MS" w:cs="Trebuchet MS"/>
          <w:color w:val="2C07FA"/>
        </w:rPr>
        <w:t xml:space="preserve"> de protection en polyester non tissé (300 g / m²) ou en matériau similaire est posé entre lestage et EPDM.  En cas de pose directe sur des éléments porteurs + lestage complémentaire, une couche intermédiaire en polyéthylène en dessous la membrane est nécessaire. </w:t>
      </w:r>
    </w:p>
    <w:p w:rsidRPr="004B22C6" w:rsidR="004F0086" w:rsidP="290D3EF4" w:rsidRDefault="00D75B07" w14:paraId="1B1B377F" w14:textId="0E8460D3">
      <w:pPr>
        <w:pStyle w:val="Plattetekstinspringen"/>
        <w:tabs>
          <w:tab w:val="left" w:pos="1843"/>
        </w:tabs>
        <w:rPr>
          <w:color w:val="2C07FA" w:themeColor="text2"/>
        </w:rPr>
      </w:pPr>
      <w:r w:rsidRPr="290D3EF4" w:rsidR="00D75B07">
        <w:rPr>
          <w:color w:val="2C07FA"/>
        </w:rPr>
        <w:t>(Soit) Méthode de placement : collée avec une colle adéquate, collage en plein en fonction du support et de la charge due au vent (conformément aux ATG et/ou aux directives du fabricant).</w:t>
      </w:r>
      <w:r>
        <w:br/>
      </w:r>
    </w:p>
    <w:p w:rsidRPr="00D75B07" w:rsidR="00D75B07" w:rsidP="290D3EF4" w:rsidRDefault="00D75B07" w14:paraId="58E9354D" w14:textId="4A21910F">
      <w:pPr>
        <w:pStyle w:val="Plattetekstinspringen"/>
        <w:tabs>
          <w:tab w:val="left" w:pos="1843"/>
        </w:tabs>
        <w:rPr>
          <w:color w:val="2C07FA" w:themeColor="text2"/>
        </w:rPr>
      </w:pPr>
      <w:r w:rsidRPr="290D3EF4" w:rsidR="00D75B07">
        <w:rPr>
          <w:color w:val="2C07FA"/>
        </w:rPr>
        <w:t xml:space="preserve">(Soit) Méthode de placement : fixation mécanique avec des vis et </w:t>
      </w:r>
      <w:proofErr w:type="spellStart"/>
      <w:r w:rsidRPr="290D3EF4" w:rsidR="00E62233">
        <w:rPr>
          <w:color w:val="2C07FA"/>
        </w:rPr>
        <w:t>fastenbar</w:t>
      </w:r>
      <w:proofErr w:type="spellEnd"/>
      <w:r w:rsidRPr="290D3EF4" w:rsidR="00D75B07">
        <w:rPr>
          <w:color w:val="2C07FA"/>
        </w:rPr>
        <w:t xml:space="preserve"> agrées par le fabricant et approuvées par les ATG, en fonction du support et de la charge due au vent (conformément aux ATG et/ou aux directives du fabricant).</w:t>
      </w:r>
    </w:p>
    <w:p w:rsidRPr="00D75B07" w:rsidR="004F0086" w:rsidP="7F11871B" w:rsidRDefault="004F0086" w14:paraId="22140597" w14:textId="773C993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  <w:rPr>
          <w:rFonts w:cs="Arial"/>
          <w:color w:val="1F497D" w:themeColor="text2"/>
        </w:rPr>
      </w:pPr>
    </w:p>
    <w:p w:rsidRPr="004F0086" w:rsidR="004F0086" w:rsidP="004F0086" w:rsidRDefault="00E947D7" w14:paraId="57697ADF" w14:textId="2665CC50">
      <w:pPr>
        <w:pStyle w:val="Plattetekstinspringen"/>
        <w:tabs>
          <w:tab w:val="left" w:pos="1843"/>
        </w:tabs>
        <w:rPr>
          <w:color w:val="000000" w:themeColor="text1"/>
        </w:rPr>
      </w:pPr>
      <w:r w:rsidRPr="003535A7">
        <w:rPr>
          <w:color w:val="000000" w:themeColor="text1"/>
        </w:rPr>
        <w:t xml:space="preserve">La largeur des chevauchements longitudinaux et transversaux entre les bandes est d’au moins 50 mm (conformément aux ATG et à la méthode de placement). Tous les chevauchements sont étanchés le même jour. Sinon, ils sont nettoyés et/ou prétraités comme décrit dans les directives du fabricant. </w:t>
      </w:r>
    </w:p>
    <w:p w:rsidRPr="003535A7" w:rsidR="00E947D7" w:rsidP="00E947D7" w:rsidRDefault="00E947D7" w14:paraId="35414F93" w14:textId="5FB37869">
      <w:pPr>
        <w:pStyle w:val="Plattetekstinspringen"/>
        <w:tabs>
          <w:tab w:val="left" w:pos="1843"/>
        </w:tabs>
        <w:overflowPunct/>
        <w:textAlignment w:val="auto"/>
        <w:rPr>
          <w:color w:val="000000" w:themeColor="text1"/>
        </w:rPr>
      </w:pPr>
      <w:r w:rsidRPr="003535A7">
        <w:rPr>
          <w:color w:val="000000" w:themeColor="text1"/>
        </w:rPr>
        <w:t xml:space="preserve">Les chevauchements sont étanchés (voir </w:t>
      </w:r>
      <w:r w:rsidR="0084659B">
        <w:rPr>
          <w:color w:val="000000" w:themeColor="text1"/>
        </w:rPr>
        <w:t>NIT 280</w:t>
      </w:r>
      <w:r w:rsidRPr="003535A7">
        <w:rPr>
          <w:color w:val="000000" w:themeColor="text1"/>
        </w:rPr>
        <w:t xml:space="preserve">) avec </w:t>
      </w:r>
      <w:r w:rsidR="0074510D">
        <w:rPr>
          <w:color w:val="000000" w:themeColor="text1"/>
        </w:rPr>
        <w:t>des bandes en butyle vulcanisées auto-adhésives</w:t>
      </w:r>
      <w:r w:rsidRPr="003535A7">
        <w:rPr>
          <w:color w:val="000000" w:themeColor="text1"/>
        </w:rPr>
        <w:t xml:space="preserve">. </w:t>
      </w:r>
    </w:p>
    <w:p w:rsidRPr="003535A7" w:rsidR="00E947D7" w:rsidP="00E947D7" w:rsidRDefault="00E947D7" w14:paraId="25968508" w14:textId="77777777">
      <w:pPr>
        <w:pStyle w:val="Plattetekstinspringen"/>
        <w:tabs>
          <w:tab w:val="left" w:pos="1843"/>
        </w:tabs>
        <w:rPr>
          <w:color w:val="000000" w:themeColor="text1"/>
        </w:rPr>
      </w:pPr>
      <w:r w:rsidRPr="003535A7">
        <w:rPr>
          <w:color w:val="000000" w:themeColor="text1"/>
        </w:rPr>
        <w:t>Contre les costières, les bandes sont toujours complètement collées. Une fixation d’angle le long des planches de rive et des lanterneaux, et autour des sorties de toit, doit êtr</w:t>
      </w:r>
      <w:r w:rsidRPr="003535A7" w:rsidR="004451C1">
        <w:rPr>
          <w:color w:val="000000" w:themeColor="text1"/>
        </w:rPr>
        <w:t>e prévue là où c’est nécessaire</w:t>
      </w:r>
      <w:r w:rsidRPr="003535A7">
        <w:rPr>
          <w:color w:val="000000" w:themeColor="text1"/>
        </w:rPr>
        <w:t xml:space="preserve"> et réalisée comme décrit dans les ATG et/ou selon les directives du fabricant </w:t>
      </w:r>
    </w:p>
    <w:p w:rsidRPr="003535A7" w:rsidR="00E947D7" w:rsidP="00E947D7" w:rsidRDefault="00E947D7" w14:paraId="1A7A5A73" w14:textId="2EE044AD">
      <w:pPr>
        <w:pStyle w:val="Plattetekstinspringen"/>
        <w:tabs>
          <w:tab w:val="left" w:pos="1843"/>
        </w:tabs>
        <w:rPr>
          <w:color w:val="000000" w:themeColor="text1"/>
        </w:rPr>
      </w:pPr>
      <w:r w:rsidRPr="003535A7">
        <w:rPr>
          <w:color w:val="000000" w:themeColor="text1"/>
        </w:rPr>
        <w:t xml:space="preserve">Détails des raccords conformément aux </w:t>
      </w:r>
      <w:r w:rsidR="0084659B">
        <w:rPr>
          <w:color w:val="000000" w:themeColor="text1"/>
        </w:rPr>
        <w:t>NIT</w:t>
      </w:r>
      <w:r w:rsidRPr="003535A7">
        <w:rPr>
          <w:color w:val="000000" w:themeColor="text1"/>
        </w:rPr>
        <w:t xml:space="preserve"> 244 et/ou </w:t>
      </w:r>
      <w:r w:rsidR="0084659B">
        <w:rPr>
          <w:color w:val="000000" w:themeColor="text1"/>
        </w:rPr>
        <w:t>NIT</w:t>
      </w:r>
      <w:r w:rsidRPr="003535A7">
        <w:rPr>
          <w:color w:val="000000" w:themeColor="text1"/>
        </w:rPr>
        <w:t xml:space="preserve"> 239 du CSTC :</w:t>
      </w:r>
    </w:p>
    <w:p w:rsidRPr="003535A7" w:rsidR="00E947D7" w:rsidP="290D3EF4" w:rsidRDefault="00E947D7" w14:paraId="5AD3DA9A" w14:textId="69377180">
      <w:pPr>
        <w:pStyle w:val="Plattetekstinspringen2"/>
        <w:rPr>
          <w:rStyle w:val="Keuze-blauw"/>
          <w:rFonts w:ascii="Trebuchet MS" w:hAnsi="Trebuchet MS" w:eastAsia="Trebuchet MS" w:cs="Trebuchet MS" w:asciiTheme="minorAscii" w:hAnsiTheme="minorAscii" w:eastAsiaTheme="minorAscii" w:cstheme="minorAscii"/>
          <w:color w:val="000000" w:themeColor="text1"/>
          <w:sz w:val="20"/>
          <w:szCs w:val="20"/>
        </w:rPr>
      </w:pPr>
      <w:proofErr w:type="gramStart"/>
      <w:r w:rsidRPr="290D3EF4" w:rsidR="00E947D7">
        <w:rPr>
          <w:color w:val="000000" w:themeColor="text1" w:themeTint="FF" w:themeShade="FF"/>
        </w:rPr>
        <w:t>raccord</w:t>
      </w:r>
      <w:proofErr w:type="gramEnd"/>
      <w:r w:rsidRPr="290D3EF4" w:rsidR="00E947D7">
        <w:rPr>
          <w:color w:val="000000" w:themeColor="text1" w:themeTint="FF" w:themeShade="FF"/>
        </w:rPr>
        <w:t xml:space="preserve"> du toit plat avec les linteaux et la menuiserie extérieure selon le </w:t>
      </w:r>
      <w:r w:rsidRPr="290D3EF4" w:rsidR="0084659B">
        <w:rPr>
          <w:color w:val="000000" w:themeColor="text1" w:themeTint="FF" w:themeShade="FF"/>
        </w:rPr>
        <w:t>NIT</w:t>
      </w:r>
      <w:r w:rsidRPr="290D3EF4" w:rsidR="00E947D7">
        <w:rPr>
          <w:color w:val="000000" w:themeColor="text1" w:themeTint="FF" w:themeShade="FF"/>
        </w:rPr>
        <w:t xml:space="preserve"> 244</w:t>
      </w:r>
      <w:r w:rsidRPr="290D3EF4" w:rsidR="00E947D7">
        <w:rPr>
          <w:rStyle w:val="Keuze-blauw"/>
          <w:color w:val="000000" w:themeColor="text1" w:themeTint="FF" w:themeShade="FF"/>
        </w:rPr>
        <w:t xml:space="preserve"> </w:t>
      </w:r>
    </w:p>
    <w:p w:rsidRPr="003535A7" w:rsidR="00E947D7" w:rsidP="00E947D7" w:rsidRDefault="00E947D7" w14:paraId="2F84F7A7" w14:textId="73EB1D49">
      <w:pPr>
        <w:pStyle w:val="Plattetekstinspringen2"/>
        <w:rPr>
          <w:color w:val="000000" w:themeColor="text1"/>
          <w:sz w:val="20"/>
          <w:szCs w:val="20"/>
        </w:rPr>
      </w:pPr>
      <w:r w:rsidRPr="290D3EF4" w:rsidR="00E947D7">
        <w:rPr>
          <w:color w:val="000000" w:themeColor="text1" w:themeTint="FF" w:themeShade="FF"/>
        </w:rPr>
        <w:t xml:space="preserve">raccord du toit plat avec le toit incliné selon </w:t>
      </w:r>
      <w:r w:rsidRPr="290D3EF4" w:rsidR="0084659B">
        <w:rPr>
          <w:color w:val="000000" w:themeColor="text1" w:themeTint="FF" w:themeShade="FF"/>
        </w:rPr>
        <w:t>NIT 24</w:t>
      </w:r>
      <w:r w:rsidRPr="290D3EF4" w:rsidR="724A8C63">
        <w:rPr>
          <w:color w:val="000000" w:themeColor="text1" w:themeTint="FF" w:themeShade="FF"/>
        </w:rPr>
        <w:t>4</w:t>
      </w:r>
      <w:r w:rsidRPr="290D3EF4" w:rsidR="00E947D7">
        <w:rPr>
          <w:rStyle w:val="Keuze-blauw"/>
          <w:color w:val="000000" w:themeColor="text1" w:themeTint="FF" w:themeShade="FF"/>
        </w:rPr>
        <w:t xml:space="preserve"> </w:t>
      </w:r>
      <w:r w:rsidRPr="290D3EF4" w:rsidR="00E947D7">
        <w:rPr>
          <w:color w:val="000000" w:themeColor="text1" w:themeTint="FF" w:themeShade="FF"/>
        </w:rPr>
        <w:t>(les eaux de sous-toiture doivent toujours être évacuées au-dessus du niveau de l’étanchéité de toiture)</w:t>
      </w:r>
    </w:p>
    <w:p w:rsidRPr="003535A7" w:rsidR="00E947D7" w:rsidP="290D3EF4" w:rsidRDefault="00E947D7" w14:paraId="1B1D7F69" w14:textId="1AA48523">
      <w:pPr>
        <w:pStyle w:val="Plattetekstinspringen2"/>
        <w:rPr>
          <w:rStyle w:val="Keuze-blauw"/>
          <w:color w:val="000000" w:themeColor="text1"/>
        </w:rPr>
      </w:pPr>
      <w:proofErr w:type="gramStart"/>
      <w:r w:rsidRPr="290D3EF4" w:rsidR="00E947D7">
        <w:rPr>
          <w:color w:val="000000" w:themeColor="text1" w:themeTint="FF" w:themeShade="FF"/>
        </w:rPr>
        <w:t>raccord</w:t>
      </w:r>
      <w:proofErr w:type="gramEnd"/>
      <w:r w:rsidRPr="290D3EF4" w:rsidR="00E947D7">
        <w:rPr>
          <w:color w:val="000000" w:themeColor="text1" w:themeTint="FF" w:themeShade="FF"/>
        </w:rPr>
        <w:t xml:space="preserve"> du toit plat avec les murs pleins selon </w:t>
      </w:r>
      <w:r w:rsidRPr="290D3EF4" w:rsidR="0084659B">
        <w:rPr>
          <w:color w:val="000000" w:themeColor="text1" w:themeTint="FF" w:themeShade="FF"/>
        </w:rPr>
        <w:t>NIT 244</w:t>
      </w:r>
    </w:p>
    <w:p w:rsidRPr="003535A7" w:rsidR="00E947D7" w:rsidP="00E947D7" w:rsidRDefault="00E947D7" w14:paraId="55ADAC65" w14:textId="7DA20832">
      <w:pPr>
        <w:pStyle w:val="Plattetekstinspringen2"/>
        <w:rPr>
          <w:rStyle w:val="Keuze-blauw"/>
          <w:color w:val="000000" w:themeColor="text1"/>
        </w:rPr>
      </w:pPr>
      <w:proofErr w:type="gramStart"/>
      <w:r w:rsidRPr="290D3EF4" w:rsidR="00E947D7">
        <w:rPr>
          <w:color w:val="000000" w:themeColor="text1" w:themeTint="FF" w:themeShade="FF"/>
        </w:rPr>
        <w:t>raccord</w:t>
      </w:r>
      <w:proofErr w:type="gramEnd"/>
      <w:r w:rsidRPr="290D3EF4" w:rsidR="00E947D7">
        <w:rPr>
          <w:color w:val="000000" w:themeColor="text1" w:themeTint="FF" w:themeShade="FF"/>
        </w:rPr>
        <w:t xml:space="preserve"> du toit plat avec les revêtements de façade selon </w:t>
      </w:r>
      <w:r w:rsidRPr="290D3EF4" w:rsidR="0084659B">
        <w:rPr>
          <w:color w:val="000000" w:themeColor="text1" w:themeTint="FF" w:themeShade="FF"/>
        </w:rPr>
        <w:t>NIT 244</w:t>
      </w:r>
      <w:r w:rsidRPr="290D3EF4" w:rsidR="00E947D7">
        <w:rPr>
          <w:rStyle w:val="Keuze-blauw"/>
          <w:color w:val="000000" w:themeColor="text1" w:themeTint="FF" w:themeShade="FF"/>
        </w:rPr>
        <w:t xml:space="preserve"> </w:t>
      </w:r>
    </w:p>
    <w:p w:rsidRPr="003535A7" w:rsidR="00E947D7" w:rsidP="00E947D7" w:rsidRDefault="00E947D7" w14:paraId="02BB82F3" w14:textId="4C07F952">
      <w:pPr>
        <w:pStyle w:val="Plattetekstinspringen2"/>
        <w:rPr>
          <w:rStyle w:val="Keuze-blauw"/>
          <w:color w:val="000000" w:themeColor="text1"/>
        </w:rPr>
      </w:pPr>
      <w:proofErr w:type="gramStart"/>
      <w:r w:rsidRPr="290D3EF4" w:rsidR="00E947D7">
        <w:rPr>
          <w:color w:val="000000" w:themeColor="text1" w:themeTint="FF" w:themeShade="FF"/>
        </w:rPr>
        <w:t>raccord</w:t>
      </w:r>
      <w:proofErr w:type="gramEnd"/>
      <w:r w:rsidRPr="290D3EF4" w:rsidR="00E947D7">
        <w:rPr>
          <w:color w:val="000000" w:themeColor="text1" w:themeTint="FF" w:themeShade="FF"/>
        </w:rPr>
        <w:t xml:space="preserve"> du toit plat avec la cheminée selon </w:t>
      </w:r>
      <w:r w:rsidRPr="290D3EF4" w:rsidR="0084659B">
        <w:rPr>
          <w:color w:val="000000" w:themeColor="text1" w:themeTint="FF" w:themeShade="FF"/>
        </w:rPr>
        <w:t>NIT 244</w:t>
      </w:r>
      <w:r w:rsidRPr="290D3EF4" w:rsidR="00E947D7">
        <w:rPr>
          <w:rStyle w:val="Keuze-blauw"/>
          <w:color w:val="000000" w:themeColor="text1" w:themeTint="FF" w:themeShade="FF"/>
        </w:rPr>
        <w:t xml:space="preserve"> </w:t>
      </w:r>
    </w:p>
    <w:p w:rsidRPr="003535A7" w:rsidR="00E947D7" w:rsidP="00E947D7" w:rsidRDefault="00E947D7" w14:paraId="6E9B5919" w14:textId="5DEA1813">
      <w:pPr>
        <w:pStyle w:val="Plattetekstinspringen2"/>
        <w:rPr>
          <w:rStyle w:val="Keuze-blauw"/>
          <w:color w:val="000000" w:themeColor="text1"/>
        </w:rPr>
      </w:pPr>
      <w:proofErr w:type="gramStart"/>
      <w:r w:rsidRPr="290D3EF4" w:rsidR="00E947D7">
        <w:rPr>
          <w:color w:val="000000" w:themeColor="text1" w:themeTint="FF" w:themeShade="FF"/>
        </w:rPr>
        <w:t>conception</w:t>
      </w:r>
      <w:proofErr w:type="gramEnd"/>
      <w:r w:rsidRPr="290D3EF4" w:rsidR="00E947D7">
        <w:rPr>
          <w:color w:val="000000" w:themeColor="text1" w:themeTint="FF" w:themeShade="FF"/>
        </w:rPr>
        <w:t xml:space="preserve"> des joints de dilatation selon </w:t>
      </w:r>
      <w:r w:rsidRPr="290D3EF4" w:rsidR="0084659B">
        <w:rPr>
          <w:color w:val="000000" w:themeColor="text1" w:themeTint="FF" w:themeShade="FF"/>
        </w:rPr>
        <w:t>NIT 244</w:t>
      </w:r>
    </w:p>
    <w:p w:rsidRPr="00C867C0" w:rsidR="00E947D7" w:rsidP="00E947D7" w:rsidRDefault="004451C1" w14:paraId="58B61675" w14:textId="77777777">
      <w:pPr>
        <w:pStyle w:val="Kop8"/>
      </w:pPr>
      <w:r>
        <w:t>Consignes</w:t>
      </w:r>
      <w:r w:rsidR="00E947D7">
        <w:t xml:space="preserve"> d’exécution complémentaires</w:t>
      </w:r>
    </w:p>
    <w:p w:rsidRPr="00C867C0" w:rsidR="00E947D7" w:rsidP="00E947D7" w:rsidRDefault="00E947D7" w14:paraId="5C887984" w14:textId="77777777">
      <w:pPr>
        <w:pStyle w:val="Plattetekstinspringen"/>
        <w:tabs>
          <w:tab w:val="left" w:pos="1843"/>
        </w:tabs>
      </w:pPr>
      <w:r>
        <w:t xml:space="preserve">Les joints de </w:t>
      </w:r>
      <w:r w:rsidRPr="004841C7">
        <w:rPr>
          <w:color w:val="000000" w:themeColor="text1"/>
        </w:rPr>
        <w:t xml:space="preserve">dilatation peuvent être réalisés </w:t>
      </w:r>
      <w:r>
        <w:t>avec une bande séparée en EPDM non armé</w:t>
      </w:r>
      <w:r w:rsidR="004451C1">
        <w:t xml:space="preserve">, </w:t>
      </w:r>
      <w:r>
        <w:t>détachée au milieu s</w:t>
      </w:r>
      <w:r w:rsidR="004451C1">
        <w:t>ur une largeur de 10 cm minimum</w:t>
      </w:r>
      <w:r>
        <w:t xml:space="preserve"> et attachée des deux côtés aux bandes d’étanchéité de toiture sur u</w:t>
      </w:r>
      <w:r w:rsidR="004451C1">
        <w:t xml:space="preserve">ne largeur suffisante (collage) </w:t>
      </w:r>
      <w:r>
        <w:t xml:space="preserve">afin de pouvoir </w:t>
      </w:r>
      <w:r w:rsidR="004451C1">
        <w:t>palier</w:t>
      </w:r>
      <w:r>
        <w:t xml:space="preserve"> </w:t>
      </w:r>
      <w:r w:rsidR="004451C1">
        <w:t>aux éventuelles</w:t>
      </w:r>
      <w:r>
        <w:t xml:space="preserve"> tensions. Cette bande est appliquée à plat sur le joint, éventuellement soutenue par une mince plaque (métallique) pour ne pas s’affaisser dans l’ouverture.</w:t>
      </w:r>
    </w:p>
    <w:p w:rsidR="00AD7BEC" w:rsidP="00E947D7" w:rsidRDefault="00AD7BEC" w14:paraId="0CCD2187" w14:textId="77777777">
      <w:pPr>
        <w:pStyle w:val="Kop4"/>
      </w:pPr>
      <w:bookmarkStart w:name="_Toc386540226" w:id="8"/>
      <w:bookmarkStart w:name="_Toc387062538" w:id="9"/>
      <w:bookmarkStart w:name="_Toc387064133" w:id="10"/>
      <w:bookmarkStart w:name="_Toc407026333" w:id="11"/>
    </w:p>
    <w:p w:rsidR="00AD7BEC" w:rsidP="00AD7BEC" w:rsidRDefault="00AD7BEC" w14:paraId="348BEA66" w14:textId="77777777"/>
    <w:p w:rsidR="00AD7BEC" w:rsidP="00AD7BEC" w:rsidRDefault="00AD7BEC" w14:paraId="76AC17EB" w14:textId="77777777"/>
    <w:p w:rsidR="00AD7BEC" w:rsidP="00AD7BEC" w:rsidRDefault="00AD7BEC" w14:paraId="431E9143" w14:textId="77777777"/>
    <w:bookmarkEnd w:id="8"/>
    <w:bookmarkEnd w:id="9"/>
    <w:bookmarkEnd w:id="10"/>
    <w:bookmarkEnd w:id="11"/>
    <w:p w:rsidR="00AD7BEC" w:rsidP="00AD7BEC" w:rsidRDefault="00AD7BEC" w14:paraId="06B79561" w14:textId="77777777"/>
    <w:sectPr w:rsidR="00AD7B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hint="default" w:ascii="Symbol" w:hAnsi="Symbol"/>
        <w:color w:val="auto"/>
        <w:sz w:val="16"/>
      </w:rPr>
    </w:lvl>
    <w:lvl w:ilvl="1" w:tplc="5A2E0694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D137B7"/>
    <w:multiLevelType w:val="hybridMultilevel"/>
    <w:tmpl w:val="9174B146"/>
    <w:lvl w:ilvl="0" w:tplc="3C54E1D4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30C459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D02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E4DF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A6BB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687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4E0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12FD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00CC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0E34E9"/>
    <w:multiLevelType w:val="hybridMultilevel"/>
    <w:tmpl w:val="B44C68BA"/>
    <w:lvl w:ilvl="0" w:tplc="3E7C646A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D7"/>
    <w:rsid w:val="000B1E57"/>
    <w:rsid w:val="000C40D8"/>
    <w:rsid w:val="00195A97"/>
    <w:rsid w:val="001E1DFC"/>
    <w:rsid w:val="002D62F5"/>
    <w:rsid w:val="0031217B"/>
    <w:rsid w:val="003535A7"/>
    <w:rsid w:val="004451C1"/>
    <w:rsid w:val="00457F7B"/>
    <w:rsid w:val="004841C7"/>
    <w:rsid w:val="0048725C"/>
    <w:rsid w:val="004B22C6"/>
    <w:rsid w:val="004D7434"/>
    <w:rsid w:val="004F0086"/>
    <w:rsid w:val="005E7DEF"/>
    <w:rsid w:val="0069355D"/>
    <w:rsid w:val="00695A24"/>
    <w:rsid w:val="006F49E0"/>
    <w:rsid w:val="0074510D"/>
    <w:rsid w:val="0084659B"/>
    <w:rsid w:val="008C302D"/>
    <w:rsid w:val="00914781"/>
    <w:rsid w:val="00927D1A"/>
    <w:rsid w:val="009C69B2"/>
    <w:rsid w:val="00A56FF6"/>
    <w:rsid w:val="00A66B7B"/>
    <w:rsid w:val="00A849E3"/>
    <w:rsid w:val="00AB135E"/>
    <w:rsid w:val="00AD7BEC"/>
    <w:rsid w:val="00AF7F36"/>
    <w:rsid w:val="00C15711"/>
    <w:rsid w:val="00C50D32"/>
    <w:rsid w:val="00D26AFF"/>
    <w:rsid w:val="00D75B07"/>
    <w:rsid w:val="00D9087B"/>
    <w:rsid w:val="00E62233"/>
    <w:rsid w:val="00E947D7"/>
    <w:rsid w:val="00ED7E31"/>
    <w:rsid w:val="256E2ECA"/>
    <w:rsid w:val="290D3EF4"/>
    <w:rsid w:val="33155AD0"/>
    <w:rsid w:val="4B7EADA8"/>
    <w:rsid w:val="52B92DC3"/>
    <w:rsid w:val="724A8C63"/>
    <w:rsid w:val="78A2BA56"/>
    <w:rsid w:val="7F11871B"/>
    <w:rsid w:val="7F1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0AB"/>
  <w15:docId w15:val="{E32E4CCC-A36E-45F5-9960-497A00FFB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3">
    <w:name w:val="heading 3"/>
    <w:basedOn w:val="Standaard"/>
    <w:next w:val="Standaard"/>
    <w:link w:val="Kop3Char"/>
    <w:autoRedefine/>
    <w:qFormat/>
    <w:rsid w:val="00E947D7"/>
    <w:pPr>
      <w:keepNext/>
      <w:tabs>
        <w:tab w:val="left" w:pos="709"/>
        <w:tab w:val="right" w:pos="9072"/>
      </w:tabs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rebuchet MS" w:hAnsi="Trebuchet MS" w:eastAsia="Times New Roman" w:cs="Arial"/>
      <w:b/>
      <w:bCs/>
      <w:color w:val="FF0000"/>
      <w:sz w:val="20"/>
      <w:szCs w:val="26"/>
    </w:rPr>
  </w:style>
  <w:style w:type="paragraph" w:styleId="Kop4">
    <w:name w:val="heading 4"/>
    <w:basedOn w:val="Kop3"/>
    <w:next w:val="Standaard"/>
    <w:link w:val="Kop4Char"/>
    <w:autoRedefine/>
    <w:qFormat/>
    <w:rsid w:val="00E947D7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Kop6">
    <w:name w:val="heading 6"/>
    <w:basedOn w:val="Standaard"/>
    <w:next w:val="Standaard"/>
    <w:link w:val="Kop6Char"/>
    <w:autoRedefine/>
    <w:qFormat/>
    <w:rsid w:val="00E947D7"/>
    <w:p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Trebuchet MS" w:hAnsi="Trebuchet MS" w:eastAsia="Times New Roman" w:cs="Times New Roman"/>
      <w:b/>
      <w:sz w:val="20"/>
      <w:szCs w:val="20"/>
      <w:u w:val="single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E947D7"/>
    <w:pPr>
      <w:keepNext/>
      <w:overflowPunct w:val="0"/>
      <w:autoSpaceDE w:val="0"/>
      <w:autoSpaceDN w:val="0"/>
      <w:adjustRightInd w:val="0"/>
      <w:spacing w:before="100" w:after="60" w:line="240" w:lineRule="auto"/>
      <w:textAlignment w:val="baseline"/>
      <w:outlineLvl w:val="7"/>
    </w:pPr>
    <w:rPr>
      <w:rFonts w:ascii="Trebuchet MS" w:hAnsi="Trebuchet MS" w:eastAsia="Times New Roman" w:cs="Times New Roman"/>
      <w:sz w:val="20"/>
      <w:szCs w:val="20"/>
      <w:u w:val="singl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3Char" w:customStyle="1">
    <w:name w:val="Kop 3 Char"/>
    <w:basedOn w:val="Standaardalinea-lettertype"/>
    <w:link w:val="Kop3"/>
    <w:rsid w:val="00E947D7"/>
    <w:rPr>
      <w:rFonts w:ascii="Trebuchet MS" w:hAnsi="Trebuchet MS" w:eastAsia="Times New Roman" w:cs="Arial"/>
      <w:b/>
      <w:bCs/>
      <w:color w:val="FF0000"/>
      <w:sz w:val="20"/>
      <w:szCs w:val="26"/>
      <w:lang w:val="fr-FR"/>
    </w:rPr>
  </w:style>
  <w:style w:type="character" w:styleId="Kop4Char" w:customStyle="1">
    <w:name w:val="Kop 4 Char"/>
    <w:basedOn w:val="Standaardalinea-lettertype"/>
    <w:link w:val="Kop4"/>
    <w:rsid w:val="00E947D7"/>
    <w:rPr>
      <w:rFonts w:ascii="Trebuchet MS" w:hAnsi="Trebuchet MS" w:eastAsia="Times New Roman" w:cs="Arial"/>
      <w:b/>
      <w:color w:val="1F497D"/>
      <w:sz w:val="20"/>
      <w:szCs w:val="26"/>
      <w:lang w:val="fr-FR"/>
    </w:rPr>
  </w:style>
  <w:style w:type="character" w:styleId="Kop6Char" w:customStyle="1">
    <w:name w:val="Kop 6 Char"/>
    <w:basedOn w:val="Standaardalinea-lettertype"/>
    <w:link w:val="Kop6"/>
    <w:rsid w:val="00E947D7"/>
    <w:rPr>
      <w:rFonts w:ascii="Trebuchet MS" w:hAnsi="Trebuchet MS" w:eastAsia="Times New Roman" w:cs="Times New Roman"/>
      <w:b/>
      <w:sz w:val="20"/>
      <w:szCs w:val="20"/>
      <w:u w:val="single"/>
      <w:lang w:val="fr-FR"/>
    </w:rPr>
  </w:style>
  <w:style w:type="character" w:styleId="Kop8Char" w:customStyle="1">
    <w:name w:val="Kop 8 Char"/>
    <w:basedOn w:val="Standaardalinea-lettertype"/>
    <w:link w:val="Kop8"/>
    <w:rsid w:val="00E947D7"/>
    <w:rPr>
      <w:rFonts w:ascii="Trebuchet MS" w:hAnsi="Trebuchet MS" w:eastAsia="Times New Roman" w:cs="Times New Roman"/>
      <w:sz w:val="20"/>
      <w:szCs w:val="20"/>
      <w:u w:val="single"/>
      <w:lang w:val="fr-FR"/>
    </w:rPr>
  </w:style>
  <w:style w:type="paragraph" w:styleId="Plattetekstinspringen">
    <w:name w:val="Body Text Indent"/>
    <w:basedOn w:val="Standaard"/>
    <w:link w:val="PlattetekstinspringenChar"/>
    <w:autoRedefine/>
    <w:rsid w:val="00E947D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hAnsi="Trebuchet MS" w:eastAsia="Times New Roman" w:cs="Times New Roman"/>
      <w:color w:val="000000"/>
      <w:sz w:val="20"/>
      <w:szCs w:val="20"/>
    </w:rPr>
  </w:style>
  <w:style w:type="character" w:styleId="PlattetekstinspringenChar" w:customStyle="1">
    <w:name w:val="Platte tekst inspringen Char"/>
    <w:basedOn w:val="Standaardalinea-lettertype"/>
    <w:link w:val="Plattetekstinspringen"/>
    <w:rsid w:val="00E947D7"/>
    <w:rPr>
      <w:rFonts w:ascii="Trebuchet MS" w:hAnsi="Trebuchet MS" w:eastAsia="Times New Roman" w:cs="Times New Roman"/>
      <w:color w:val="000000"/>
      <w:sz w:val="20"/>
      <w:szCs w:val="20"/>
      <w:lang w:val="fr-FR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E947D7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hAnsi="Trebuchet MS" w:eastAsia="Times New Roman" w:cs="Times New Roman"/>
      <w:sz w:val="20"/>
      <w:szCs w:val="20"/>
    </w:rPr>
  </w:style>
  <w:style w:type="character" w:styleId="Plattetekstinspringen2Char" w:customStyle="1">
    <w:name w:val="Platte tekst inspringen 2 Char"/>
    <w:basedOn w:val="Standaardalinea-lettertype"/>
    <w:link w:val="Plattetekstinspringen2"/>
    <w:rsid w:val="00E947D7"/>
    <w:rPr>
      <w:rFonts w:ascii="Trebuchet MS" w:hAnsi="Trebuchet MS" w:eastAsia="Times New Roman" w:cs="Times New Roman"/>
      <w:sz w:val="20"/>
      <w:szCs w:val="20"/>
      <w:lang w:val="fr-FR"/>
    </w:rPr>
  </w:style>
  <w:style w:type="paragraph" w:styleId="Plattetekstinspringen3">
    <w:name w:val="Body Text Indent 3"/>
    <w:basedOn w:val="Plattetekstinspringen2"/>
    <w:link w:val="Plattetekstinspringen3Char"/>
    <w:autoRedefine/>
    <w:rsid w:val="00E947D7"/>
    <w:pPr>
      <w:numPr>
        <w:ilvl w:val="1"/>
      </w:numPr>
    </w:pPr>
  </w:style>
  <w:style w:type="character" w:styleId="Plattetekstinspringen3Char" w:customStyle="1">
    <w:name w:val="Platte tekst inspringen 3 Char"/>
    <w:basedOn w:val="Standaardalinea-lettertype"/>
    <w:link w:val="Plattetekstinspringen3"/>
    <w:rsid w:val="00E947D7"/>
    <w:rPr>
      <w:rFonts w:ascii="Trebuchet MS" w:hAnsi="Trebuchet MS" w:eastAsia="Times New Roman" w:cs="Times New Roman"/>
      <w:sz w:val="20"/>
      <w:szCs w:val="20"/>
      <w:lang w:val="fr-FR"/>
    </w:rPr>
  </w:style>
  <w:style w:type="paragraph" w:styleId="ofwel" w:customStyle="1">
    <w:name w:val="ofwel"/>
    <w:basedOn w:val="Plattetekst"/>
    <w:next w:val="Plattetekstinspringen"/>
    <w:link w:val="ofwelChar"/>
    <w:autoRedefine/>
    <w:qFormat/>
    <w:rsid w:val="00E947D7"/>
    <w:pPr>
      <w:tabs>
        <w:tab w:val="left" w:pos="851"/>
      </w:tabs>
      <w:overflowPunct w:val="0"/>
      <w:autoSpaceDE w:val="0"/>
      <w:autoSpaceDN w:val="0"/>
      <w:adjustRightInd w:val="0"/>
      <w:spacing w:before="20" w:after="20" w:line="240" w:lineRule="auto"/>
      <w:ind w:left="851" w:hanging="851"/>
      <w:jc w:val="both"/>
      <w:textAlignment w:val="baseline"/>
    </w:pPr>
    <w:rPr>
      <w:rFonts w:ascii="Trebuchet MS" w:hAnsi="Trebuchet MS" w:eastAsia="Times New Roman" w:cs="Times New Roman"/>
      <w:b/>
      <w:color w:val="0033CC"/>
      <w:sz w:val="20"/>
      <w:szCs w:val="20"/>
    </w:rPr>
  </w:style>
  <w:style w:type="character" w:styleId="ofwelChar" w:customStyle="1">
    <w:name w:val="ofwel Char"/>
    <w:basedOn w:val="PlattetekstChar"/>
    <w:link w:val="ofwel"/>
    <w:rsid w:val="00E947D7"/>
    <w:rPr>
      <w:rFonts w:ascii="Trebuchet MS" w:hAnsi="Trebuchet MS" w:eastAsia="Times New Roman" w:cs="Times New Roman"/>
      <w:b/>
      <w:color w:val="0033CC"/>
      <w:sz w:val="20"/>
      <w:szCs w:val="20"/>
      <w:lang w:val="fr-FR"/>
    </w:rPr>
  </w:style>
  <w:style w:type="character" w:styleId="MeetChar" w:customStyle="1">
    <w:name w:val="MeetChar"/>
    <w:basedOn w:val="Standaardalinea-lettertype"/>
    <w:rsid w:val="00E947D7"/>
    <w:rPr>
      <w:color w:val="008080"/>
    </w:rPr>
  </w:style>
  <w:style w:type="character" w:styleId="Keuze-blauw" w:customStyle="1">
    <w:name w:val="Keuze-blauw"/>
    <w:basedOn w:val="Standaardalinea-lettertype"/>
    <w:uiPriority w:val="1"/>
    <w:qFormat/>
    <w:rsid w:val="00E947D7"/>
    <w:rPr>
      <w:rFonts w:ascii="Trebuchet MS" w:hAnsi="Trebuchet MS"/>
      <w:color w:val="0000FF"/>
      <w:lang w:val="fr-FR" w:eastAsia="fr-FR"/>
    </w:rPr>
  </w:style>
  <w:style w:type="paragraph" w:styleId="ofwelinspringen" w:customStyle="1">
    <w:name w:val="ofwel inspringen"/>
    <w:basedOn w:val="ofwel"/>
    <w:autoRedefine/>
    <w:qFormat/>
    <w:rsid w:val="00E947D7"/>
    <w:pPr>
      <w:ind w:left="1191"/>
    </w:pPr>
    <w:rPr>
      <w:b w:val="0"/>
      <w:color w:val="auto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947D7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E947D7"/>
  </w:style>
  <w:style w:type="table" w:styleId="Tabelraster">
    <w:name w:val="Table Grid"/>
    <w:basedOn w:val="Standaardtabel"/>
    <w:uiPriority w:val="59"/>
    <w:rsid w:val="00693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4F0086"/>
    <w:pPr>
      <w:ind w:left="720"/>
      <w:contextualSpacing/>
    </w:pPr>
  </w:style>
  <w:style w:type="character" w:styleId="normaltextrun" w:customStyle="1">
    <w:name w:val="normaltextrun"/>
    <w:basedOn w:val="Standaardalinea-lettertype"/>
    <w:uiPriority w:val="1"/>
    <w:rsid w:val="7F11871B"/>
  </w:style>
  <w:style w:type="character" w:styleId="scxw218390808" w:customStyle="1">
    <w:name w:val="scxw218390808"/>
    <w:basedOn w:val="Standaardalinea-lettertype"/>
    <w:uiPriority w:val="1"/>
    <w:rsid w:val="7F118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B31A5E6428429976CFA63E3FCDE0" ma:contentTypeVersion="0" ma:contentTypeDescription="Een nieuw document maken." ma:contentTypeScope="" ma:versionID="fdc2c2eb716867a3c1075d1171038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6BD6A-5CDC-4EA9-8720-468BA7FBB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B8392-26FB-4CF5-995B-5A12A328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0BD34-E134-4552-9196-14A8A2A06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Dieter Van Dorpe</dc:creator>
  <lastModifiedBy>De Boever, Sander</lastModifiedBy>
  <revision>27</revision>
  <dcterms:created xsi:type="dcterms:W3CDTF">2016-04-25T08:09:00.0000000Z</dcterms:created>
  <dcterms:modified xsi:type="dcterms:W3CDTF">2022-09-16T13:17:39.0333433Z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0x0101002081B31A5E6428429976CFA63E3FCDE0</vt:lpwstr>
  </property>
</Properties>
</file>